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CF4B" w14:textId="77777777" w:rsidR="00682E3C" w:rsidRDefault="00682E3C" w:rsidP="00682E3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BA72C9">
        <w:rPr>
          <w:rFonts w:ascii="Times New Roman" w:hAnsi="Times New Roman" w:cs="Times New Roman"/>
          <w:b/>
          <w:bCs/>
          <w:sz w:val="28"/>
          <w:szCs w:val="28"/>
          <w:lang w:val="hr-HR"/>
        </w:rPr>
        <w:t>ZIDNJACI</w:t>
      </w:r>
    </w:p>
    <w:p w14:paraId="26D15819" w14:textId="77777777" w:rsidR="00682E3C" w:rsidRPr="00BA72C9" w:rsidRDefault="00682E3C" w:rsidP="00682E3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482D87A1" w14:textId="77777777" w:rsidR="00682E3C" w:rsidRPr="005515CD" w:rsidRDefault="00682E3C" w:rsidP="00682E3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A72C9">
        <w:rPr>
          <w:rFonts w:ascii="Times New Roman" w:hAnsi="Times New Roman" w:cs="Times New Roman"/>
          <w:sz w:val="24"/>
          <w:szCs w:val="24"/>
          <w:lang w:val="hr-HR"/>
        </w:rPr>
        <w:t>Unutar skupine tradicijskog platnenog posoblja, u posebni red predmeta s porukom, i to doslovnom, ispisanom, ubrajamo zidnjake, koji, kao i neki od ručnika, uz likovni motiv, sadrže i kraći tekst, najčešće u formi izreke poput poznate „Kuharice kuhaj ručak fino, pa će dobit</w:t>
      </w:r>
      <w:r>
        <w:rPr>
          <w:rFonts w:ascii="Times New Roman" w:hAnsi="Times New Roman" w:cs="Times New Roman"/>
          <w:sz w:val="24"/>
          <w:szCs w:val="24"/>
          <w:lang w:val="hr-HR"/>
        </w:rPr>
        <w:t>'</w:t>
      </w:r>
      <w:r w:rsidRPr="00BA72C9">
        <w:rPr>
          <w:rFonts w:ascii="Times New Roman" w:hAnsi="Times New Roman" w:cs="Times New Roman"/>
          <w:sz w:val="24"/>
          <w:szCs w:val="24"/>
          <w:lang w:val="hr-HR"/>
        </w:rPr>
        <w:t xml:space="preserve"> novaca za kino“ ili, kao na primjerku iz fundusa Etnografskog muzeja, „Za svakog muža sreća je ta, kad žena dobro kuhat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BA72C9">
        <w:rPr>
          <w:rFonts w:ascii="Times New Roman" w:hAnsi="Times New Roman" w:cs="Times New Roman"/>
          <w:sz w:val="24"/>
          <w:szCs w:val="24"/>
          <w:lang w:val="hr-HR"/>
        </w:rPr>
        <w:t xml:space="preserve"> zna“.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14:paraId="15B90F72" w14:textId="71F79235" w:rsidR="00682E3C" w:rsidRPr="00CD6F71" w:rsidRDefault="00682E3C" w:rsidP="00682E3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U gradskim sredinama središnje Europe,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pa tako i Hrvatske, 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>zidnjaci (</w:t>
      </w:r>
      <w:r w:rsidRPr="00BA72C9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kuharice, kuvarice, krpe</w:t>
      </w:r>
      <w:r w:rsidR="00C804B1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, dekice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>) postaju popularni krajem 19. stoljeća, a 20-ih i 30-ih godina prošlog stoljeća nalazimo ih i u seoskim sredinama</w:t>
      </w:r>
      <w:r w:rsidR="00D51A2D"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kod bogatijih pojedinaca</w:t>
      </w:r>
      <w:r w:rsidR="00C804B1">
        <w:rPr>
          <w:rFonts w:ascii="Times New Roman" w:eastAsia="Times New Roman" w:hAnsi="Times New Roman" w:cs="Times New Roman"/>
          <w:sz w:val="24"/>
          <w:szCs w:val="24"/>
          <w:lang w:val="hr-HR"/>
        </w:rPr>
        <w:t>, da bi uskoro postali opća moda.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To je vrijeme kada na selu nestaju otvorena ognjišta (tzv. crna kuhinja) pa se, kao i u gradu, počinje kuhati na zidanim štednjacima i samostojećim metalnim pećima, iznad kojih su, kao i iznad stolova i mjesta za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CD6F71">
        <w:rPr>
          <w:rFonts w:ascii="Times New Roman" w:eastAsia="Times New Roman" w:hAnsi="Times New Roman" w:cs="Times New Roman"/>
          <w:sz w:val="24"/>
          <w:szCs w:val="24"/>
          <w:lang w:val="hr-HR"/>
        </w:rPr>
        <w:t>umivanje, vješani vezeni zidnjaci, sada, u „bijeloj kuhinji“, sigurni od zaprljanja, čađe i dima.</w:t>
      </w:r>
      <w:r w:rsidRPr="00CD6F71">
        <w:rPr>
          <w:rFonts w:ascii="Times New Roman" w:hAnsi="Times New Roman" w:cs="Times New Roman"/>
          <w:sz w:val="24"/>
          <w:szCs w:val="24"/>
          <w:lang w:val="hr-HR"/>
        </w:rPr>
        <w:t xml:space="preserve"> Iako su prvotno imali praktičnu ulogu – zaštititu zida od prskanja, ubrzo su im dodane i lako pamtljive, rimovane, često poučne poruke, posebice one vezane uz promociju osobne higijene, zdrave prehrane ili bontona, što osim dekorativnog, jača njihov komunikacijski značaj, posebice u rado tematiziranoj ideji romantične ljubavi, koju </w:t>
      </w:r>
      <w:r w:rsidR="00C804B1">
        <w:rPr>
          <w:rFonts w:ascii="Times New Roman" w:hAnsi="Times New Roman" w:cs="Times New Roman"/>
          <w:sz w:val="24"/>
          <w:szCs w:val="24"/>
          <w:lang w:val="hr-HR"/>
        </w:rPr>
        <w:t>u ono vrijeme</w:t>
      </w:r>
      <w:r w:rsidRPr="00CD6F71">
        <w:rPr>
          <w:rFonts w:ascii="Times New Roman" w:hAnsi="Times New Roman" w:cs="Times New Roman"/>
          <w:sz w:val="24"/>
          <w:szCs w:val="24"/>
          <w:lang w:val="hr-HR"/>
        </w:rPr>
        <w:t xml:space="preserve"> nije bilo uobičajeno, ni poželjno, otvoreno iskazivati. Mahom uvezeni, odnosno preuzeti/ prevedeni motivi i tekstovi, ponekad se prilagođavaju lokalnoj sredini, što je najčešće slučaj kod brojnih zidnjaka vjerske ili, u manjem opsegu, onih domoljubne tematike.</w:t>
      </w:r>
    </w:p>
    <w:p w14:paraId="779247BA" w14:textId="53DD20AC" w:rsidR="00682E3C" w:rsidRPr="00BA72C9" w:rsidRDefault="00682E3C" w:rsidP="00682E3C">
      <w:pPr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D6F71">
        <w:rPr>
          <w:rFonts w:ascii="Times New Roman" w:hAnsi="Times New Roman" w:cs="Times New Roman"/>
          <w:sz w:val="24"/>
          <w:szCs w:val="24"/>
          <w:lang w:val="hr-HR"/>
        </w:rPr>
        <w:t xml:space="preserve">U usporedbi s drugim tradicijskim tehnikama tkanja i veza, izrada zidnjaka, koji su nerijetko bili dio djevojačke opreme, </w:t>
      </w:r>
      <w:r w:rsidRPr="00CD6F7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dote, miraza </w:t>
      </w:r>
      <w:r w:rsidRPr="00CD6F71">
        <w:rPr>
          <w:rFonts w:ascii="Times New Roman" w:hAnsi="Times New Roman" w:cs="Times New Roman"/>
          <w:sz w:val="24"/>
          <w:szCs w:val="24"/>
          <w:lang w:val="hr-HR"/>
        </w:rPr>
        <w:t>ili</w:t>
      </w:r>
      <w:r w:rsidRPr="00CD6F71"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 robe</w:t>
      </w:r>
      <w:r w:rsidRPr="00CD6F71">
        <w:rPr>
          <w:rFonts w:ascii="Times New Roman" w:hAnsi="Times New Roman" w:cs="Times New Roman"/>
          <w:sz w:val="24"/>
          <w:szCs w:val="24"/>
          <w:lang w:val="hr-HR"/>
        </w:rPr>
        <w:t xml:space="preserve">, nije bila posebno zahtjevna - porubljene pravokutne komade bijelog pamučnog ili lanenog platna, </w:t>
      </w:r>
      <w:r w:rsidR="00C804B1">
        <w:rPr>
          <w:rFonts w:ascii="Times New Roman" w:hAnsi="Times New Roman" w:cs="Times New Roman"/>
          <w:sz w:val="24"/>
          <w:szCs w:val="24"/>
          <w:lang w:val="hr-HR"/>
        </w:rPr>
        <w:t>različitih</w:t>
      </w:r>
      <w:r w:rsidRPr="00CD6F71">
        <w:rPr>
          <w:rFonts w:ascii="Times New Roman" w:hAnsi="Times New Roman" w:cs="Times New Roman"/>
          <w:sz w:val="24"/>
          <w:szCs w:val="24"/>
          <w:lang w:val="hr-HR"/>
        </w:rPr>
        <w:t xml:space="preserve"> dimenzija, </w:t>
      </w:r>
      <w:r w:rsidRPr="00CD6F7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vezlo se najčešće plavim i crvenim koncem, u tehnikama </w:t>
      </w:r>
      <w:r w:rsidRPr="00CD6F71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križića, plosnog boda, ovijanca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, lančan</w:t>
      </w:r>
      <w:r w:rsidR="00C804B1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ca,</w:t>
      </w:r>
      <w:r w:rsidRPr="00CD6F7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 dr., po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precrtanom ili </w:t>
      </w:r>
      <w:r w:rsidR="00C804B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kupljenom, </w:t>
      </w:r>
      <w:r w:rsidRPr="00CD6F71">
        <w:rPr>
          <w:rFonts w:ascii="Times New Roman" w:eastAsia="Times New Roman" w:hAnsi="Times New Roman" w:cs="Times New Roman"/>
          <w:sz w:val="24"/>
          <w:szCs w:val="24"/>
          <w:lang w:val="hr-HR"/>
        </w:rPr>
        <w:t>već otisnutom (</w:t>
      </w:r>
      <w:r w:rsidRPr="00CD6F71"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fordrukanom</w:t>
      </w:r>
      <w:r w:rsidRPr="00CD6F71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 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motivu, da bi ih pred Drugi svjetski rat bilo u više boja, iako se plava i crvena i dalje zadržavaju. U istom su se razdoblju mogle nabaviti </w:t>
      </w:r>
      <w:r w:rsidRPr="004F50EB">
        <w:rPr>
          <w:rFonts w:ascii="Times New Roman" w:eastAsia="Times New Roman" w:hAnsi="Times New Roman" w:cs="Times New Roman"/>
          <w:sz w:val="24"/>
          <w:szCs w:val="24"/>
          <w:lang w:val="hr-HR"/>
        </w:rPr>
        <w:t>papirnate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BA72C9">
        <w:rPr>
          <w:rFonts w:ascii="Times New Roman" w:eastAsia="Times New Roman" w:hAnsi="Times New Roman" w:cs="Times New Roman"/>
          <w:i/>
          <w:sz w:val="24"/>
          <w:szCs w:val="24"/>
          <w:lang w:val="hr-HR"/>
        </w:rPr>
        <w:t>kuharice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a krajem 60-ih godina javljaju se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 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>tiskane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hr-HR"/>
        </w:rPr>
        <w:t>molovane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). 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>Kraj šezdestih ujedno je kraj intenzivne uporabe zidnjaka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,</w:t>
      </w:r>
      <w:r w:rsidRPr="00BA72C9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koja opada s novom promjenom u opremanju interijera, odnosno uvođenjem električnih štedanjaka i „visećih“ kuhinja. </w:t>
      </w:r>
    </w:p>
    <w:p w14:paraId="41D69711" w14:textId="15715497" w:rsidR="00682E3C" w:rsidRPr="00BA72C9" w:rsidRDefault="00682E3C" w:rsidP="00682E3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BA72C9">
        <w:rPr>
          <w:rFonts w:ascii="Times New Roman" w:hAnsi="Times New Roman" w:cs="Times New Roman"/>
          <w:sz w:val="24"/>
          <w:szCs w:val="24"/>
          <w:lang w:val="hr-HR"/>
        </w:rPr>
        <w:t>Kao što je vidljivo iz izloženih primjera</w:t>
      </w:r>
      <w:r w:rsidR="00993806">
        <w:rPr>
          <w:rFonts w:ascii="Times New Roman" w:hAnsi="Times New Roman" w:cs="Times New Roman"/>
          <w:sz w:val="24"/>
          <w:szCs w:val="24"/>
          <w:lang w:val="hr-HR"/>
        </w:rPr>
        <w:t>ka</w:t>
      </w:r>
      <w:r w:rsidRPr="00BA72C9">
        <w:rPr>
          <w:rFonts w:ascii="Times New Roman" w:hAnsi="Times New Roman" w:cs="Times New Roman"/>
          <w:sz w:val="24"/>
          <w:szCs w:val="24"/>
          <w:lang w:val="hr-HR"/>
        </w:rPr>
        <w:t>, prizori i poruke na zidnjacima vrlo često odražavaju stereotipnu muško-žensku podjelu uloga u (seoskom i gradskom) patrijarhalnom domaćinstvu 20. stoljeća, potičući je, ili ironično je komentirajući i opirući joj se, te su kao takv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BA72C9">
        <w:rPr>
          <w:rFonts w:ascii="Times New Roman" w:hAnsi="Times New Roman" w:cs="Times New Roman"/>
          <w:sz w:val="24"/>
          <w:szCs w:val="24"/>
          <w:lang w:val="hr-HR"/>
        </w:rPr>
        <w:t xml:space="preserve"> iznimno vrijedni dokumenti </w:t>
      </w:r>
      <w:r w:rsidR="00C804B1">
        <w:rPr>
          <w:rFonts w:ascii="Times New Roman" w:hAnsi="Times New Roman" w:cs="Times New Roman"/>
          <w:sz w:val="24"/>
          <w:szCs w:val="24"/>
          <w:lang w:val="hr-HR"/>
        </w:rPr>
        <w:t xml:space="preserve">(protoka) </w:t>
      </w:r>
      <w:r w:rsidRPr="00BA72C9">
        <w:rPr>
          <w:rFonts w:ascii="Times New Roman" w:hAnsi="Times New Roman" w:cs="Times New Roman"/>
          <w:sz w:val="24"/>
          <w:szCs w:val="24"/>
          <w:lang w:val="hr-HR"/>
        </w:rPr>
        <w:t>vremena</w:t>
      </w:r>
      <w:r w:rsidR="00D51A2D">
        <w:rPr>
          <w:rFonts w:ascii="Times New Roman" w:hAnsi="Times New Roman" w:cs="Times New Roman"/>
          <w:sz w:val="24"/>
          <w:szCs w:val="24"/>
          <w:lang w:val="hr-HR"/>
        </w:rPr>
        <w:t>. O</w:t>
      </w:r>
      <w:r w:rsidRPr="00BA72C9">
        <w:rPr>
          <w:rFonts w:ascii="Times New Roman" w:hAnsi="Times New Roman" w:cs="Times New Roman"/>
          <w:sz w:val="24"/>
          <w:szCs w:val="24"/>
          <w:lang w:val="hr-HR"/>
        </w:rPr>
        <w:t>vom prilikom umjetnički interpretirani, uz asistenciju umjetne inteligencije i 3D tehnologije</w:t>
      </w:r>
      <w:r w:rsidR="00D51A2D">
        <w:rPr>
          <w:rFonts w:ascii="Times New Roman" w:hAnsi="Times New Roman" w:cs="Times New Roman"/>
          <w:sz w:val="24"/>
          <w:szCs w:val="24"/>
          <w:lang w:val="hr-HR"/>
        </w:rPr>
        <w:t xml:space="preserve">, dobivaju </w:t>
      </w:r>
      <w:r w:rsidR="00AA79B9">
        <w:rPr>
          <w:rFonts w:ascii="Times New Roman" w:hAnsi="Times New Roman" w:cs="Times New Roman"/>
          <w:sz w:val="24"/>
          <w:szCs w:val="24"/>
          <w:lang w:val="hr-HR"/>
        </w:rPr>
        <w:t>nova značenja, utemeljena na osobnim asocijacijama i kolektivnom sjećanju</w:t>
      </w:r>
      <w:r w:rsidR="00D51A2D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93806">
        <w:rPr>
          <w:rFonts w:ascii="Times New Roman" w:hAnsi="Times New Roman" w:cs="Times New Roman"/>
          <w:sz w:val="24"/>
          <w:szCs w:val="24"/>
          <w:lang w:val="hr-HR"/>
        </w:rPr>
        <w:t>na putu do</w:t>
      </w:r>
      <w:r w:rsidR="00AA79B9">
        <w:rPr>
          <w:rFonts w:ascii="Times New Roman" w:hAnsi="Times New Roman" w:cs="Times New Roman"/>
          <w:sz w:val="24"/>
          <w:szCs w:val="24"/>
          <w:lang w:val="hr-HR"/>
        </w:rPr>
        <w:t xml:space="preserve"> nove/</w:t>
      </w:r>
      <w:r w:rsidR="00D51A2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A79B9">
        <w:rPr>
          <w:rFonts w:ascii="Times New Roman" w:hAnsi="Times New Roman" w:cs="Times New Roman"/>
          <w:sz w:val="24"/>
          <w:szCs w:val="24"/>
          <w:lang w:val="hr-HR"/>
        </w:rPr>
        <w:t>stare istine</w:t>
      </w:r>
      <w:r w:rsidR="00D51A2D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295EA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606E419D" w14:textId="0373A8EE" w:rsidR="00682E3C" w:rsidRDefault="00682E3C" w:rsidP="00682E3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724675D" w14:textId="77777777" w:rsidR="00C804B1" w:rsidRPr="00BA72C9" w:rsidRDefault="00C804B1" w:rsidP="00682E3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0D80718" w14:textId="6478A58B" w:rsidR="00682E3C" w:rsidRPr="00BA72C9" w:rsidRDefault="00682E3C" w:rsidP="00682E3C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BA72C9">
        <w:rPr>
          <w:rFonts w:ascii="Times New Roman" w:hAnsi="Times New Roman" w:cs="Times New Roman"/>
          <w:sz w:val="24"/>
          <w:szCs w:val="24"/>
          <w:lang w:val="hr-HR"/>
        </w:rPr>
        <w:t>Gordana Viljetić, viša kustosica</w:t>
      </w:r>
      <w:r w:rsidR="00C804B1">
        <w:rPr>
          <w:rFonts w:ascii="Times New Roman" w:hAnsi="Times New Roman" w:cs="Times New Roman"/>
          <w:sz w:val="24"/>
          <w:szCs w:val="24"/>
          <w:lang w:val="hr-HR"/>
        </w:rPr>
        <w:t>, voditeljica Zbirke platnenog posoblja EMZ-a</w:t>
      </w:r>
    </w:p>
    <w:p w14:paraId="7A94DC23" w14:textId="77777777" w:rsidR="00682E3C" w:rsidRDefault="00682E3C" w:rsidP="00682E3C">
      <w:pPr>
        <w:rPr>
          <w:lang w:val="hr-HR"/>
        </w:rPr>
      </w:pPr>
    </w:p>
    <w:p w14:paraId="3D13E9F0" w14:textId="77777777" w:rsidR="00AB2085" w:rsidRPr="00C804B1" w:rsidRDefault="00AB2085">
      <w:pPr>
        <w:rPr>
          <w:lang w:val="hr-HR"/>
        </w:rPr>
      </w:pPr>
    </w:p>
    <w:sectPr w:rsidR="00AB2085" w:rsidRPr="00C80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E6"/>
    <w:rsid w:val="000136E6"/>
    <w:rsid w:val="000B5B2F"/>
    <w:rsid w:val="001821EE"/>
    <w:rsid w:val="00295EAD"/>
    <w:rsid w:val="002D616E"/>
    <w:rsid w:val="00682E3C"/>
    <w:rsid w:val="008D199F"/>
    <w:rsid w:val="00993806"/>
    <w:rsid w:val="009C0073"/>
    <w:rsid w:val="00AA79B9"/>
    <w:rsid w:val="00AB2085"/>
    <w:rsid w:val="00C804B1"/>
    <w:rsid w:val="00D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871B5"/>
  <w15:chartTrackingRefBased/>
  <w15:docId w15:val="{0D0F24A0-DA3E-49CC-8619-2C2C166E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E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Viljetić</dc:creator>
  <cp:keywords/>
  <dc:description/>
  <cp:lastModifiedBy>Gordana Viljetić</cp:lastModifiedBy>
  <cp:revision>28</cp:revision>
  <dcterms:created xsi:type="dcterms:W3CDTF">2022-09-05T13:00:00Z</dcterms:created>
  <dcterms:modified xsi:type="dcterms:W3CDTF">2022-09-05T14:36:00Z</dcterms:modified>
</cp:coreProperties>
</file>